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7CF3" w14:textId="77777777" w:rsidR="00F95A0E" w:rsidRDefault="00555239" w:rsidP="00555239">
      <w:pPr>
        <w:spacing w:after="0" w:line="240" w:lineRule="auto"/>
        <w:rPr>
          <w:b/>
          <w:bCs/>
          <w:sz w:val="28"/>
          <w:szCs w:val="28"/>
        </w:rPr>
      </w:pPr>
      <w:r>
        <w:rPr>
          <w:b/>
          <w:bCs/>
          <w:noProof/>
          <w:sz w:val="28"/>
          <w:szCs w:val="28"/>
        </w:rPr>
        <w:drawing>
          <wp:anchor distT="0" distB="0" distL="114300" distR="114300" simplePos="0" relativeHeight="251659264" behindDoc="0" locked="0" layoutInCell="1" allowOverlap="1" wp14:anchorId="5C60AC20" wp14:editId="151CE074">
            <wp:simplePos x="0" y="0"/>
            <wp:positionH relativeFrom="margin">
              <wp:align>left</wp:align>
            </wp:positionH>
            <wp:positionV relativeFrom="paragraph">
              <wp:posOffset>0</wp:posOffset>
            </wp:positionV>
            <wp:extent cx="1143000" cy="1524000"/>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43000" cy="1524000"/>
                    </a:xfrm>
                    <a:prstGeom prst="rect">
                      <a:avLst/>
                    </a:prstGeom>
                  </pic:spPr>
                </pic:pic>
              </a:graphicData>
            </a:graphic>
          </wp:anchor>
        </w:drawing>
      </w:r>
      <w:r>
        <w:rPr>
          <w:b/>
          <w:bCs/>
          <w:sz w:val="28"/>
          <w:szCs w:val="28"/>
        </w:rPr>
        <w:t xml:space="preserve">     </w:t>
      </w:r>
    </w:p>
    <w:p w14:paraId="4603ED72" w14:textId="77777777" w:rsidR="00F95A0E" w:rsidRDefault="00F95A0E" w:rsidP="00555239">
      <w:pPr>
        <w:spacing w:after="0" w:line="240" w:lineRule="auto"/>
        <w:rPr>
          <w:b/>
          <w:bCs/>
          <w:sz w:val="28"/>
          <w:szCs w:val="28"/>
        </w:rPr>
      </w:pPr>
    </w:p>
    <w:p w14:paraId="1A0285D4" w14:textId="77777777" w:rsidR="00F95A0E" w:rsidRDefault="00F95A0E" w:rsidP="00555239">
      <w:pPr>
        <w:spacing w:after="0" w:line="240" w:lineRule="auto"/>
        <w:rPr>
          <w:b/>
          <w:bCs/>
          <w:sz w:val="28"/>
          <w:szCs w:val="28"/>
        </w:rPr>
      </w:pPr>
    </w:p>
    <w:p w14:paraId="75FF301F" w14:textId="1FB9125F" w:rsidR="00555239" w:rsidRPr="00F95A0E" w:rsidRDefault="00555239" w:rsidP="00F95A0E">
      <w:pPr>
        <w:spacing w:after="0" w:line="240" w:lineRule="auto"/>
        <w:jc w:val="right"/>
        <w:rPr>
          <w:rFonts w:ascii="OzHandicraft BT" w:hAnsi="OzHandicraft BT"/>
          <w:b/>
          <w:bCs/>
          <w:color w:val="886349"/>
          <w:sz w:val="56"/>
          <w:szCs w:val="56"/>
        </w:rPr>
      </w:pPr>
      <w:r w:rsidRPr="00F95A0E">
        <w:rPr>
          <w:rFonts w:ascii="OzHandicraft BT" w:hAnsi="OzHandicraft BT"/>
          <w:b/>
          <w:bCs/>
          <w:color w:val="886349"/>
          <w:sz w:val="56"/>
          <w:szCs w:val="56"/>
        </w:rPr>
        <w:t>City of Bastrop Permit Requirements</w:t>
      </w:r>
    </w:p>
    <w:p w14:paraId="59E61E87" w14:textId="77777777" w:rsidR="00555239" w:rsidRPr="0059172A" w:rsidRDefault="00555239" w:rsidP="00555239">
      <w:pPr>
        <w:spacing w:after="0" w:line="240" w:lineRule="auto"/>
        <w:rPr>
          <w:b/>
          <w:bCs/>
          <w:sz w:val="28"/>
          <w:szCs w:val="28"/>
        </w:rPr>
      </w:pPr>
    </w:p>
    <w:p w14:paraId="6C2E1840" w14:textId="1389681D" w:rsidR="00555239" w:rsidRDefault="00555239" w:rsidP="00555239">
      <w:pPr>
        <w:spacing w:after="0" w:line="240" w:lineRule="auto"/>
        <w:rPr>
          <w:b/>
          <w:bCs/>
          <w:sz w:val="24"/>
          <w:szCs w:val="24"/>
        </w:rPr>
      </w:pPr>
      <w:r>
        <w:rPr>
          <w:b/>
          <w:bCs/>
          <w:sz w:val="24"/>
          <w:szCs w:val="24"/>
        </w:rPr>
        <w:t xml:space="preserve"> </w:t>
      </w:r>
    </w:p>
    <w:p w14:paraId="3F654F14" w14:textId="77777777" w:rsidR="00555239" w:rsidRDefault="00555239" w:rsidP="00555239">
      <w:pPr>
        <w:spacing w:after="0" w:line="240" w:lineRule="auto"/>
        <w:rPr>
          <w:b/>
          <w:bCs/>
          <w:sz w:val="24"/>
          <w:szCs w:val="24"/>
        </w:rPr>
      </w:pPr>
    </w:p>
    <w:p w14:paraId="2C97879C" w14:textId="6DE8A41D" w:rsidR="00555239" w:rsidRDefault="00555239" w:rsidP="00555239">
      <w:pPr>
        <w:spacing w:after="0" w:line="240" w:lineRule="auto"/>
        <w:rPr>
          <w:b/>
          <w:bCs/>
          <w:sz w:val="24"/>
          <w:szCs w:val="24"/>
        </w:rPr>
      </w:pPr>
      <w:r>
        <w:rPr>
          <w:b/>
          <w:bCs/>
          <w:sz w:val="24"/>
          <w:szCs w:val="24"/>
        </w:rPr>
        <w:t xml:space="preserve"> </w:t>
      </w:r>
      <w:r w:rsidR="00F95A0E">
        <w:rPr>
          <w:b/>
          <w:bCs/>
          <w:noProof/>
          <w:sz w:val="24"/>
          <w:szCs w:val="24"/>
        </w:rPr>
        <mc:AlternateContent>
          <mc:Choice Requires="wps">
            <w:drawing>
              <wp:anchor distT="0" distB="0" distL="114300" distR="114300" simplePos="0" relativeHeight="251662336" behindDoc="0" locked="0" layoutInCell="1" allowOverlap="1" wp14:anchorId="10ECD43D" wp14:editId="6896EA9F">
                <wp:simplePos x="0" y="0"/>
                <wp:positionH relativeFrom="margin">
                  <wp:posOffset>0</wp:posOffset>
                </wp:positionH>
                <wp:positionV relativeFrom="paragraph">
                  <wp:posOffset>-635</wp:posOffset>
                </wp:positionV>
                <wp:extent cx="69723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972300" cy="0"/>
                        </a:xfrm>
                        <a:prstGeom prst="line">
                          <a:avLst/>
                        </a:prstGeom>
                        <a:ln w="9525">
                          <a:solidFill>
                            <a:srgbClr val="68A2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6E75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92zAEAAOgDAAAOAAAAZHJzL2Uyb0RvYy54bWysU01v2zAMvQ/YfxB0X+x4aNYYcYqtRXcZ&#10;tqL7uCsyFQuQREHS4uTfj5ITt9jHYcMugkXyPfI90ZubozXsACFqdB1fLmrOwEnstdt3/OuX+1fX&#10;nMUkXC8MOuj4CSK/2b58sRl9Cw0OaHoIjEhcbEff8SEl31ZVlANYERfowVFSYbAi0TXsqz6Ikdit&#10;qZq6XlUjht4HlBAjRe+mJN8WfqVApk9KRUjMdJxmS+UM5dzls9puRLsPwg9anscQ/zCFFdpR05nq&#10;TiTBvgf9C5XVMmBElRYSbYVKaQlFA6lZ1j+p+TwID0ULmRP9bFP8f7Ty4+HWPQSyYfSxjf4hZBVH&#10;FSxTRvtv9KZFF03KjsW202wbHBOTFFyt3zSva3JXXnLVRJGpfIjpPaBl+aPjRrusSLTi8CEmakul&#10;l5IcNo6NHV9fNVelKqLR/b02Judi2O9uTWAHQY+5un7bvFvn9yOGZ2V0M46CT3LKVzoZmPgfQTHd&#10;09iTsLJpMNMKKcGl5ZnXOKrOMEUjzMB6Gi2v6J+A5/oMhbKFfwOeEaUzujSDrXYYftc9HS8jq6n+&#10;4sCkO1uww/5UHrpYQ+tUnDuvft7X5/cCf/pBtz8AAAD//wMAUEsDBBQABgAIAAAAIQACUiqV3QAA&#10;AAUBAAAPAAAAZHJzL2Rvd25yZXYueG1sTI/NTsMwEITvSLyDtUhcUGu3oKqEOBVC/BxQkdoiuLrx&#10;Jo6I1yF22/Tt2XKB48ysZr7NF4NvxR772ATSMBkrEEhlsA3VGt43T6M5iJgMWdMGQg1HjLAozs9y&#10;k9lwoBXu16kWXEIxMxpcSl0mZSwdehPHoUPirAq9N4llX0vbmwOX+1ZOlZpJbxriBWc6fHBYfq13&#10;XsOrstXV7KWZfi/d8/HxprrGj7dPrS8vhvs7EAmH9HcMJ3xGh4KZtmFHNopWAz+SNIwmIE6hup2z&#10;sf01ZJHL//TFDwAAAP//AwBQSwECLQAUAAYACAAAACEAtoM4kv4AAADhAQAAEwAAAAAAAAAAAAAA&#10;AAAAAAAAW0NvbnRlbnRfVHlwZXNdLnhtbFBLAQItABQABgAIAAAAIQA4/SH/1gAAAJQBAAALAAAA&#10;AAAAAAAAAAAAAC8BAABfcmVscy8ucmVsc1BLAQItABQABgAIAAAAIQChOz92zAEAAOgDAAAOAAAA&#10;AAAAAAAAAAAAAC4CAABkcnMvZTJvRG9jLnhtbFBLAQItABQABgAIAAAAIQACUiqV3QAAAAUBAAAP&#10;AAAAAAAAAAAAAAAAACYEAABkcnMvZG93bnJldi54bWxQSwUGAAAAAAQABADzAAAAMAUAAAAA&#10;" strokecolor="#68a2b9">
                <v:stroke joinstyle="miter"/>
                <w10:wrap anchorx="margin"/>
              </v:line>
            </w:pict>
          </mc:Fallback>
        </mc:AlternateContent>
      </w:r>
    </w:p>
    <w:p w14:paraId="4C3A413D" w14:textId="0DAD18A3" w:rsidR="00555239" w:rsidRDefault="00555239" w:rsidP="00555239">
      <w:pPr>
        <w:spacing w:after="0" w:line="240" w:lineRule="auto"/>
        <w:rPr>
          <w:b/>
          <w:bCs/>
          <w:sz w:val="24"/>
          <w:szCs w:val="24"/>
        </w:rPr>
      </w:pPr>
    </w:p>
    <w:p w14:paraId="71E5ABA1" w14:textId="21BC27EF" w:rsidR="00555239" w:rsidRDefault="00F95A0E" w:rsidP="00555239">
      <w:pPr>
        <w:spacing w:after="0" w:line="240" w:lineRule="auto"/>
        <w:rPr>
          <w:b/>
          <w:bCs/>
          <w:sz w:val="24"/>
          <w:szCs w:val="24"/>
        </w:rPr>
      </w:pPr>
      <w:r>
        <w:rPr>
          <w:rFonts w:cstheme="minorHAnsi"/>
          <w:noProof/>
          <w:kern w:val="36"/>
        </w:rPr>
        <w:drawing>
          <wp:anchor distT="0" distB="0" distL="114300" distR="114300" simplePos="0" relativeHeight="251660288" behindDoc="1" locked="0" layoutInCell="1" allowOverlap="1" wp14:anchorId="4AEE3822" wp14:editId="6DDA333B">
            <wp:simplePos x="0" y="0"/>
            <wp:positionH relativeFrom="margin">
              <wp:align>right</wp:align>
            </wp:positionH>
            <wp:positionV relativeFrom="paragraph">
              <wp:posOffset>6350</wp:posOffset>
            </wp:positionV>
            <wp:extent cx="1137920" cy="1478280"/>
            <wp:effectExtent l="0" t="0" r="5080" b="7620"/>
            <wp:wrapTight wrapText="bothSides">
              <wp:wrapPolygon edited="0">
                <wp:start x="0" y="0"/>
                <wp:lineTo x="0" y="21433"/>
                <wp:lineTo x="21335" y="21433"/>
                <wp:lineTo x="2133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920"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8D0A55" w14:textId="3C738115" w:rsidR="00F95A0E" w:rsidRDefault="00555239" w:rsidP="00555239">
      <w:pPr>
        <w:spacing w:after="0" w:line="240" w:lineRule="auto"/>
        <w:rPr>
          <w:b/>
          <w:bCs/>
          <w:sz w:val="24"/>
          <w:szCs w:val="24"/>
        </w:rPr>
      </w:pPr>
      <w:r>
        <w:rPr>
          <w:b/>
          <w:bCs/>
          <w:sz w:val="24"/>
          <w:szCs w:val="24"/>
        </w:rPr>
        <w:t xml:space="preserve"> </w:t>
      </w:r>
    </w:p>
    <w:p w14:paraId="4F5EAFFD" w14:textId="58D29572" w:rsidR="00F95A0E" w:rsidRDefault="00F95A0E" w:rsidP="00555239">
      <w:pPr>
        <w:spacing w:after="0" w:line="240" w:lineRule="auto"/>
        <w:rPr>
          <w:b/>
          <w:bCs/>
          <w:sz w:val="24"/>
          <w:szCs w:val="24"/>
        </w:rPr>
      </w:pPr>
    </w:p>
    <w:p w14:paraId="4D9B667E" w14:textId="77777777" w:rsidR="00F95A0E" w:rsidRDefault="00F95A0E" w:rsidP="00555239">
      <w:pPr>
        <w:spacing w:after="0" w:line="240" w:lineRule="auto"/>
        <w:rPr>
          <w:b/>
          <w:bCs/>
          <w:sz w:val="24"/>
          <w:szCs w:val="24"/>
        </w:rPr>
      </w:pPr>
    </w:p>
    <w:p w14:paraId="12F643F7" w14:textId="6E34EC2E" w:rsidR="00555239" w:rsidRPr="00F95A0E" w:rsidRDefault="00555239" w:rsidP="00F95A0E">
      <w:pPr>
        <w:spacing w:after="0" w:line="240" w:lineRule="auto"/>
        <w:jc w:val="center"/>
        <w:rPr>
          <w:rFonts w:ascii="Brandon Grotesque Bold" w:hAnsi="Brandon Grotesque Bold"/>
          <w:b/>
          <w:bCs/>
          <w:color w:val="546122"/>
          <w:sz w:val="32"/>
          <w:szCs w:val="32"/>
        </w:rPr>
      </w:pPr>
      <w:r w:rsidRPr="00F95A0E">
        <w:rPr>
          <w:rFonts w:ascii="Brandon Grotesque Bold" w:hAnsi="Brandon Grotesque Bold"/>
          <w:b/>
          <w:bCs/>
          <w:color w:val="546122"/>
          <w:sz w:val="32"/>
          <w:szCs w:val="32"/>
        </w:rPr>
        <w:t>International Building Code (IBC)</w:t>
      </w:r>
    </w:p>
    <w:p w14:paraId="0C9A139B" w14:textId="4F875BEC" w:rsidR="00555239" w:rsidRPr="0059172A" w:rsidRDefault="00555239" w:rsidP="00555239">
      <w:pPr>
        <w:spacing w:after="0" w:line="240" w:lineRule="auto"/>
        <w:rPr>
          <w:b/>
          <w:bCs/>
          <w:sz w:val="24"/>
          <w:szCs w:val="24"/>
        </w:rPr>
      </w:pPr>
      <w:r>
        <w:rPr>
          <w:b/>
          <w:bCs/>
          <w:sz w:val="24"/>
          <w:szCs w:val="24"/>
        </w:rPr>
        <w:t xml:space="preserve">                                 </w:t>
      </w:r>
    </w:p>
    <w:p w14:paraId="0DEECF9E" w14:textId="0C1233EA" w:rsidR="00555239" w:rsidRDefault="00555239" w:rsidP="00555239">
      <w:pPr>
        <w:spacing w:after="0" w:line="240" w:lineRule="auto"/>
        <w:outlineLvl w:val="0"/>
        <w:rPr>
          <w:rFonts w:eastAsia="Times New Roman" w:cstheme="minorHAnsi"/>
          <w:kern w:val="36"/>
        </w:rPr>
      </w:pPr>
    </w:p>
    <w:p w14:paraId="315E5EAB" w14:textId="4D063165" w:rsidR="00F95A0E" w:rsidRDefault="00F95A0E" w:rsidP="00555239">
      <w:pPr>
        <w:spacing w:after="0" w:line="240" w:lineRule="auto"/>
        <w:outlineLvl w:val="0"/>
        <w:rPr>
          <w:rFonts w:eastAsia="Times New Roman" w:cstheme="minorHAnsi"/>
          <w:kern w:val="36"/>
        </w:rPr>
      </w:pPr>
    </w:p>
    <w:p w14:paraId="01A1CEDB" w14:textId="37894EE6" w:rsidR="00F95A0E" w:rsidRDefault="00F95A0E" w:rsidP="00555239">
      <w:pPr>
        <w:spacing w:after="0" w:line="240" w:lineRule="auto"/>
        <w:outlineLvl w:val="0"/>
        <w:rPr>
          <w:rFonts w:eastAsia="Times New Roman" w:cstheme="minorHAnsi"/>
          <w:kern w:val="36"/>
        </w:rPr>
      </w:pPr>
    </w:p>
    <w:p w14:paraId="29A48EE5" w14:textId="77777777" w:rsidR="00F95A0E" w:rsidRDefault="00F95A0E" w:rsidP="00555239">
      <w:pPr>
        <w:spacing w:after="0" w:line="240" w:lineRule="auto"/>
        <w:outlineLvl w:val="0"/>
        <w:rPr>
          <w:rFonts w:eastAsia="Times New Roman" w:cstheme="minorHAnsi"/>
          <w:kern w:val="36"/>
        </w:rPr>
      </w:pPr>
    </w:p>
    <w:p w14:paraId="1D9F9D9E" w14:textId="77777777" w:rsidR="00555239" w:rsidRPr="00DC6201" w:rsidRDefault="00555239" w:rsidP="00555239">
      <w:pPr>
        <w:spacing w:after="0" w:line="240" w:lineRule="auto"/>
        <w:outlineLvl w:val="0"/>
        <w:rPr>
          <w:rFonts w:ascii="Brandon Grotesque Bold" w:eastAsia="Times New Roman" w:hAnsi="Brandon Grotesque Bold" w:cstheme="minorHAnsi"/>
          <w:kern w:val="36"/>
          <w:sz w:val="28"/>
          <w:szCs w:val="28"/>
        </w:rPr>
      </w:pPr>
      <w:r w:rsidRPr="00DC6201">
        <w:rPr>
          <w:rFonts w:ascii="Brandon Grotesque Bold" w:eastAsia="Times New Roman" w:hAnsi="Brandon Grotesque Bold" w:cstheme="minorHAnsi"/>
          <w:kern w:val="36"/>
          <w:sz w:val="28"/>
          <w:szCs w:val="28"/>
        </w:rPr>
        <w:t>105. Required.</w:t>
      </w:r>
    </w:p>
    <w:p w14:paraId="0F6E793D" w14:textId="77777777" w:rsidR="00555239" w:rsidRPr="005015B1" w:rsidRDefault="00555239" w:rsidP="005015B1">
      <w:pPr>
        <w:spacing w:after="0" w:line="240" w:lineRule="auto"/>
        <w:ind w:left="720"/>
        <w:rPr>
          <w:rFonts w:ascii="Arial" w:eastAsia="Times New Roman" w:hAnsi="Arial" w:cs="Arial"/>
        </w:rPr>
      </w:pPr>
      <w:r w:rsidRPr="005015B1">
        <w:rPr>
          <w:rFonts w:ascii="Arial" w:eastAsia="Times New Roman" w:hAnsi="Arial" w:cs="Arial"/>
        </w:rPr>
        <w:t>Any </w:t>
      </w:r>
      <w:r w:rsidRPr="005015B1">
        <w:rPr>
          <w:rFonts w:ascii="Arial" w:eastAsia="Times New Roman" w:hAnsi="Arial" w:cs="Arial"/>
          <w:i/>
          <w:iCs/>
        </w:rPr>
        <w:t>owner</w:t>
      </w:r>
      <w:r w:rsidRPr="005015B1">
        <w:rPr>
          <w:rFonts w:ascii="Arial" w:eastAsia="Times New Roman" w:hAnsi="Arial" w:cs="Arial"/>
        </w:rPr>
        <w:t> or owner’s authorized agent who intends to construct, enlarge, alter, </w:t>
      </w:r>
      <w:r w:rsidRPr="005015B1">
        <w:rPr>
          <w:rFonts w:ascii="Arial" w:eastAsia="Times New Roman" w:hAnsi="Arial" w:cs="Arial"/>
          <w:i/>
          <w:iCs/>
        </w:rPr>
        <w:t>repair</w:t>
      </w:r>
      <w:r w:rsidRPr="005015B1">
        <w:rPr>
          <w:rFonts w:ascii="Arial" w:eastAsia="Times New Roman" w:hAnsi="Arial" w:cs="Arial"/>
        </w:rPr>
        <w:t>, move, demolish or change the occupancy of a building or structure, or to erect, install, enlarge, alter, </w:t>
      </w:r>
      <w:r w:rsidRPr="005015B1">
        <w:rPr>
          <w:rFonts w:ascii="Arial" w:eastAsia="Times New Roman" w:hAnsi="Arial" w:cs="Arial"/>
          <w:i/>
          <w:iCs/>
        </w:rPr>
        <w:t>repair</w:t>
      </w:r>
      <w:r w:rsidRPr="005015B1">
        <w:rPr>
          <w:rFonts w:ascii="Arial" w:eastAsia="Times New Roman" w:hAnsi="Arial" w:cs="Arial"/>
        </w:rPr>
        <w:t>, remove, convert or replace any electrical, gas, mechanical or plumbing system, the installation of which is regulated by this code, or to cause any such work to be performed, shall first make application to the </w:t>
      </w:r>
      <w:r w:rsidRPr="005015B1">
        <w:rPr>
          <w:rFonts w:ascii="Arial" w:eastAsia="Times New Roman" w:hAnsi="Arial" w:cs="Arial"/>
          <w:i/>
          <w:iCs/>
        </w:rPr>
        <w:t>building official</w:t>
      </w:r>
      <w:r w:rsidRPr="005015B1">
        <w:rPr>
          <w:rFonts w:ascii="Arial" w:eastAsia="Times New Roman" w:hAnsi="Arial" w:cs="Arial"/>
        </w:rPr>
        <w:t> and obtain the required </w:t>
      </w:r>
      <w:r w:rsidRPr="005015B1">
        <w:rPr>
          <w:rFonts w:ascii="Arial" w:eastAsia="Times New Roman" w:hAnsi="Arial" w:cs="Arial"/>
          <w:i/>
          <w:iCs/>
        </w:rPr>
        <w:t>permit</w:t>
      </w:r>
      <w:r w:rsidRPr="005015B1">
        <w:rPr>
          <w:rFonts w:ascii="Arial" w:eastAsia="Times New Roman" w:hAnsi="Arial" w:cs="Arial"/>
        </w:rPr>
        <w:t>.</w:t>
      </w:r>
    </w:p>
    <w:p w14:paraId="1C2DCD8A" w14:textId="77777777" w:rsidR="00555239" w:rsidRDefault="00555239" w:rsidP="00555239">
      <w:pPr>
        <w:spacing w:after="0" w:line="240" w:lineRule="auto"/>
      </w:pPr>
    </w:p>
    <w:p w14:paraId="2432D956" w14:textId="77777777" w:rsidR="00555239" w:rsidRPr="00DC6201" w:rsidRDefault="00555239" w:rsidP="00555239">
      <w:pPr>
        <w:spacing w:after="0" w:line="240" w:lineRule="auto"/>
        <w:rPr>
          <w:rFonts w:ascii="Brandon Grotesque Bold" w:hAnsi="Brandon Grotesque Bold"/>
          <w:sz w:val="28"/>
          <w:szCs w:val="28"/>
        </w:rPr>
      </w:pPr>
      <w:r w:rsidRPr="00DC6201">
        <w:rPr>
          <w:rFonts w:ascii="Brandon Grotesque Bold" w:hAnsi="Brandon Grotesque Bold"/>
          <w:sz w:val="28"/>
          <w:szCs w:val="28"/>
        </w:rPr>
        <w:t>105.2 Work exempt from permit.</w:t>
      </w:r>
    </w:p>
    <w:p w14:paraId="4DC8868B" w14:textId="77777777" w:rsidR="00555239" w:rsidRPr="005015B1" w:rsidRDefault="00555239" w:rsidP="005015B1">
      <w:pPr>
        <w:spacing w:after="0" w:line="240" w:lineRule="auto"/>
        <w:ind w:left="720"/>
        <w:rPr>
          <w:rFonts w:ascii="Arial" w:hAnsi="Arial" w:cs="Arial"/>
        </w:rPr>
      </w:pPr>
      <w:r w:rsidRPr="005015B1">
        <w:rPr>
          <w:rFonts w:ascii="Arial" w:hAnsi="Arial" w:cs="Arial"/>
        </w:rPr>
        <w:t>Exemptions from permit requirements of this code shall not be deemed to grant authorization for any work to be done in any manner in violation of the provisions of this code or any other laws or ordinances of this jurisdiction. Permits shall not be required for the following:</w:t>
      </w:r>
    </w:p>
    <w:p w14:paraId="20DE5538" w14:textId="77777777" w:rsidR="00555239" w:rsidRPr="005015B1" w:rsidRDefault="00555239" w:rsidP="005015B1">
      <w:pPr>
        <w:spacing w:after="0" w:line="240" w:lineRule="auto"/>
        <w:ind w:left="720"/>
        <w:rPr>
          <w:rFonts w:ascii="Arial" w:hAnsi="Arial" w:cs="Arial"/>
        </w:rPr>
      </w:pPr>
    </w:p>
    <w:p w14:paraId="0C780D34" w14:textId="5C8BFFBC" w:rsidR="00555239" w:rsidRPr="00F61B46" w:rsidRDefault="00555239" w:rsidP="00F61B46">
      <w:pPr>
        <w:pStyle w:val="ListParagraph"/>
        <w:numPr>
          <w:ilvl w:val="0"/>
          <w:numId w:val="2"/>
        </w:numPr>
        <w:spacing w:after="0" w:line="240" w:lineRule="auto"/>
        <w:rPr>
          <w:rFonts w:ascii="Arial" w:hAnsi="Arial" w:cs="Arial"/>
          <w:color w:val="9E0000"/>
        </w:rPr>
      </w:pPr>
      <w:r w:rsidRPr="00F61B46">
        <w:rPr>
          <w:rFonts w:ascii="Arial" w:hAnsi="Arial" w:cs="Arial"/>
          <w:color w:val="9E0000"/>
        </w:rPr>
        <w:t xml:space="preserve">One-story detached accessory structures used as tool and storage sheds, </w:t>
      </w:r>
      <w:proofErr w:type="gramStart"/>
      <w:r w:rsidRPr="00F61B46">
        <w:rPr>
          <w:rFonts w:ascii="Arial" w:hAnsi="Arial" w:cs="Arial"/>
          <w:color w:val="9E0000"/>
        </w:rPr>
        <w:t>playhouses</w:t>
      </w:r>
      <w:proofErr w:type="gramEnd"/>
      <w:r w:rsidRPr="00F61B46">
        <w:rPr>
          <w:rFonts w:ascii="Arial" w:hAnsi="Arial" w:cs="Arial"/>
          <w:color w:val="9E0000"/>
        </w:rPr>
        <w:t xml:space="preserve"> and similar uses, provided that the floor area is not greater than 120 square feet (11 m2).</w:t>
      </w:r>
    </w:p>
    <w:p w14:paraId="749F3EC8" w14:textId="0FAED08A" w:rsidR="00555239" w:rsidRPr="00F61B46" w:rsidRDefault="00555239" w:rsidP="00F61B46">
      <w:pPr>
        <w:pStyle w:val="ListParagraph"/>
        <w:numPr>
          <w:ilvl w:val="0"/>
          <w:numId w:val="2"/>
        </w:numPr>
        <w:spacing w:after="0" w:line="240" w:lineRule="auto"/>
        <w:rPr>
          <w:rFonts w:ascii="Arial" w:hAnsi="Arial" w:cs="Arial"/>
          <w:color w:val="9E0000"/>
        </w:rPr>
      </w:pPr>
      <w:r w:rsidRPr="00F61B46">
        <w:rPr>
          <w:rFonts w:ascii="Arial" w:hAnsi="Arial" w:cs="Arial"/>
          <w:color w:val="9E0000"/>
        </w:rPr>
        <w:t>Fences not over 7 feet (2134 mm) high.</w:t>
      </w:r>
    </w:p>
    <w:p w14:paraId="1C387605" w14:textId="3FDC67A7" w:rsidR="00555239" w:rsidRPr="00F61B46" w:rsidRDefault="00555239" w:rsidP="00F61B46">
      <w:pPr>
        <w:pStyle w:val="ListParagraph"/>
        <w:numPr>
          <w:ilvl w:val="0"/>
          <w:numId w:val="2"/>
        </w:numPr>
        <w:spacing w:after="0" w:line="240" w:lineRule="auto"/>
        <w:rPr>
          <w:rFonts w:ascii="Arial" w:hAnsi="Arial" w:cs="Arial"/>
        </w:rPr>
      </w:pPr>
      <w:r w:rsidRPr="00F61B46">
        <w:rPr>
          <w:rFonts w:ascii="Arial" w:hAnsi="Arial" w:cs="Arial"/>
        </w:rPr>
        <w:t>Oil derricks.</w:t>
      </w:r>
    </w:p>
    <w:p w14:paraId="3D145EEE" w14:textId="74BC3A5D" w:rsidR="00555239" w:rsidRPr="00F61B46" w:rsidRDefault="00555239" w:rsidP="00F61B46">
      <w:pPr>
        <w:pStyle w:val="ListParagraph"/>
        <w:numPr>
          <w:ilvl w:val="0"/>
          <w:numId w:val="2"/>
        </w:numPr>
        <w:spacing w:after="0" w:line="240" w:lineRule="auto"/>
        <w:rPr>
          <w:rFonts w:ascii="Arial" w:hAnsi="Arial" w:cs="Arial"/>
          <w:color w:val="9E0000"/>
        </w:rPr>
      </w:pPr>
      <w:r w:rsidRPr="00F61B46">
        <w:rPr>
          <w:rFonts w:ascii="Arial" w:hAnsi="Arial" w:cs="Arial"/>
          <w:color w:val="9E0000"/>
        </w:rPr>
        <w:t>Retaining walls that are not over 4 feet (1219 mm) in height measured from the bottom of the footing to the top of the wall, unless supporting a surcharge or impounding Class I, II or IIIA liquids.</w:t>
      </w:r>
    </w:p>
    <w:p w14:paraId="518AA461" w14:textId="7EAEC937" w:rsidR="00555239" w:rsidRPr="00F61B46" w:rsidRDefault="00555239" w:rsidP="00F61B46">
      <w:pPr>
        <w:pStyle w:val="ListParagraph"/>
        <w:numPr>
          <w:ilvl w:val="0"/>
          <w:numId w:val="2"/>
        </w:numPr>
        <w:spacing w:after="0" w:line="240" w:lineRule="auto"/>
        <w:rPr>
          <w:rFonts w:ascii="Arial" w:hAnsi="Arial" w:cs="Arial"/>
        </w:rPr>
      </w:pPr>
      <w:r w:rsidRPr="00F61B46">
        <w:rPr>
          <w:rFonts w:ascii="Arial" w:hAnsi="Arial" w:cs="Arial"/>
        </w:rPr>
        <w:t>Water tanks supported directly on grade if the capacity is not greater than 5,000 gallons (18 925 L) and the ratio of height to diameter or width is not greater than 2:1.</w:t>
      </w:r>
    </w:p>
    <w:p w14:paraId="4ED107DC" w14:textId="1909B164" w:rsidR="00555239" w:rsidRPr="00F61B46" w:rsidRDefault="00555239" w:rsidP="00F61B46">
      <w:pPr>
        <w:pStyle w:val="ListParagraph"/>
        <w:numPr>
          <w:ilvl w:val="0"/>
          <w:numId w:val="2"/>
        </w:numPr>
        <w:spacing w:after="0" w:line="240" w:lineRule="auto"/>
        <w:rPr>
          <w:rFonts w:ascii="Arial" w:hAnsi="Arial" w:cs="Arial"/>
          <w:color w:val="C00000"/>
        </w:rPr>
      </w:pPr>
      <w:r w:rsidRPr="00F61B46">
        <w:rPr>
          <w:rFonts w:ascii="Arial" w:hAnsi="Arial" w:cs="Arial"/>
          <w:color w:val="9E0000"/>
        </w:rPr>
        <w:t>Sidewalks and driveways not more than 30 inches (762 mm) above adjacent grade, and not over any basement or story below and are not part of an accessible route.</w:t>
      </w:r>
    </w:p>
    <w:p w14:paraId="44276EF8" w14:textId="4D5A843A" w:rsidR="00555239" w:rsidRPr="00F61B46" w:rsidRDefault="00555239" w:rsidP="00F61B46">
      <w:pPr>
        <w:pStyle w:val="ListParagraph"/>
        <w:numPr>
          <w:ilvl w:val="0"/>
          <w:numId w:val="2"/>
        </w:numPr>
        <w:spacing w:after="0" w:line="240" w:lineRule="auto"/>
        <w:rPr>
          <w:rFonts w:ascii="Arial" w:hAnsi="Arial" w:cs="Arial"/>
        </w:rPr>
      </w:pPr>
      <w:r w:rsidRPr="00F61B46">
        <w:rPr>
          <w:rFonts w:ascii="Arial" w:hAnsi="Arial" w:cs="Arial"/>
        </w:rPr>
        <w:t xml:space="preserve">Painting, papering, tiling, carpeting, cabinets, counter </w:t>
      </w:r>
      <w:proofErr w:type="gramStart"/>
      <w:r w:rsidRPr="00F61B46">
        <w:rPr>
          <w:rFonts w:ascii="Arial" w:hAnsi="Arial" w:cs="Arial"/>
        </w:rPr>
        <w:t>tops</w:t>
      </w:r>
      <w:proofErr w:type="gramEnd"/>
      <w:r w:rsidRPr="00F61B46">
        <w:rPr>
          <w:rFonts w:ascii="Arial" w:hAnsi="Arial" w:cs="Arial"/>
        </w:rPr>
        <w:t xml:space="preserve"> and similar finish work.</w:t>
      </w:r>
    </w:p>
    <w:p w14:paraId="37D8F716" w14:textId="319B179B" w:rsidR="00555239" w:rsidRPr="00F61B46" w:rsidRDefault="00555239" w:rsidP="00F61B46">
      <w:pPr>
        <w:pStyle w:val="ListParagraph"/>
        <w:numPr>
          <w:ilvl w:val="0"/>
          <w:numId w:val="2"/>
        </w:numPr>
        <w:spacing w:after="0" w:line="240" w:lineRule="auto"/>
        <w:rPr>
          <w:rFonts w:ascii="Arial" w:hAnsi="Arial" w:cs="Arial"/>
        </w:rPr>
      </w:pPr>
      <w:r w:rsidRPr="00F61B46">
        <w:rPr>
          <w:rFonts w:ascii="Arial" w:hAnsi="Arial" w:cs="Arial"/>
        </w:rPr>
        <w:t>Temporary motion picture, television and theater stage sets and scenery.</w:t>
      </w:r>
    </w:p>
    <w:p w14:paraId="198BDC6A" w14:textId="30302331" w:rsidR="00555239" w:rsidRPr="00F61B46" w:rsidRDefault="00555239" w:rsidP="00F61B46">
      <w:pPr>
        <w:pStyle w:val="ListParagraph"/>
        <w:numPr>
          <w:ilvl w:val="0"/>
          <w:numId w:val="2"/>
        </w:numPr>
        <w:spacing w:after="0" w:line="240" w:lineRule="auto"/>
        <w:rPr>
          <w:rFonts w:ascii="Arial" w:hAnsi="Arial" w:cs="Arial"/>
        </w:rPr>
      </w:pPr>
      <w:r w:rsidRPr="00F61B46">
        <w:rPr>
          <w:rFonts w:ascii="Arial" w:hAnsi="Arial" w:cs="Arial"/>
        </w:rPr>
        <w:t>Prefabricated swimming pools accessory to a Group R-3 occupancy that are less than 24 inches (610 mm) deep, are not greater than 5,000 gallons (18 925 L) and are installed entirely above ground.</w:t>
      </w:r>
    </w:p>
    <w:p w14:paraId="259384AF" w14:textId="00210E9B" w:rsidR="00555239" w:rsidRPr="00F61B46" w:rsidRDefault="00555239" w:rsidP="00F61B46">
      <w:pPr>
        <w:pStyle w:val="ListParagraph"/>
        <w:numPr>
          <w:ilvl w:val="0"/>
          <w:numId w:val="2"/>
        </w:numPr>
        <w:spacing w:after="0" w:line="240" w:lineRule="auto"/>
        <w:rPr>
          <w:rFonts w:ascii="Arial" w:hAnsi="Arial" w:cs="Arial"/>
        </w:rPr>
      </w:pPr>
      <w:r w:rsidRPr="00F61B46">
        <w:rPr>
          <w:rFonts w:ascii="Arial" w:hAnsi="Arial" w:cs="Arial"/>
        </w:rPr>
        <w:lastRenderedPageBreak/>
        <w:t>Shade cloth structures constructed for nursery or agricultural purposes, not including service systems.</w:t>
      </w:r>
    </w:p>
    <w:p w14:paraId="2755ED91" w14:textId="473EF6CC" w:rsidR="00555239" w:rsidRPr="00F61B46" w:rsidRDefault="00555239" w:rsidP="00F61B46">
      <w:pPr>
        <w:pStyle w:val="ListParagraph"/>
        <w:numPr>
          <w:ilvl w:val="0"/>
          <w:numId w:val="2"/>
        </w:numPr>
        <w:spacing w:after="0" w:line="240" w:lineRule="auto"/>
        <w:rPr>
          <w:rFonts w:ascii="Arial" w:hAnsi="Arial" w:cs="Arial"/>
        </w:rPr>
      </w:pPr>
      <w:r w:rsidRPr="00F61B46">
        <w:rPr>
          <w:rFonts w:ascii="Arial" w:hAnsi="Arial" w:cs="Arial"/>
        </w:rPr>
        <w:t>Swings and other playground equipment accessory to detached one- and two-family dwellings.</w:t>
      </w:r>
    </w:p>
    <w:p w14:paraId="26878BCD" w14:textId="3F206837" w:rsidR="00555239" w:rsidRPr="00F61B46" w:rsidRDefault="00555239" w:rsidP="00F61B46">
      <w:pPr>
        <w:pStyle w:val="ListParagraph"/>
        <w:numPr>
          <w:ilvl w:val="0"/>
          <w:numId w:val="2"/>
        </w:numPr>
        <w:spacing w:after="0" w:line="240" w:lineRule="auto"/>
        <w:rPr>
          <w:rFonts w:ascii="Arial" w:hAnsi="Arial" w:cs="Arial"/>
          <w:color w:val="9E0000"/>
        </w:rPr>
      </w:pPr>
      <w:r w:rsidRPr="00F61B46">
        <w:rPr>
          <w:rFonts w:ascii="Arial" w:hAnsi="Arial" w:cs="Arial"/>
          <w:color w:val="9E0000"/>
        </w:rPr>
        <w:t>Window awnings in Group R-3 and U occupancies, supported by an exterior wall that do not project more than 54 inches (1372 mm) from the exterior wall and do not require additional support.</w:t>
      </w:r>
    </w:p>
    <w:p w14:paraId="390AECD3" w14:textId="09AC2B9C" w:rsidR="00555239" w:rsidRPr="00F61B46" w:rsidRDefault="00555239" w:rsidP="00F61B46">
      <w:pPr>
        <w:pStyle w:val="ListParagraph"/>
        <w:numPr>
          <w:ilvl w:val="0"/>
          <w:numId w:val="2"/>
        </w:numPr>
        <w:spacing w:after="0" w:line="240" w:lineRule="auto"/>
        <w:rPr>
          <w:rFonts w:ascii="Arial" w:hAnsi="Arial" w:cs="Arial"/>
        </w:rPr>
      </w:pPr>
      <w:r w:rsidRPr="00F61B46">
        <w:rPr>
          <w:rFonts w:ascii="Arial" w:hAnsi="Arial" w:cs="Arial"/>
        </w:rPr>
        <w:t xml:space="preserve">Nonfixed and movable fixtures, cases, racks, </w:t>
      </w:r>
      <w:proofErr w:type="gramStart"/>
      <w:r w:rsidRPr="00F61B46">
        <w:rPr>
          <w:rFonts w:ascii="Arial" w:hAnsi="Arial" w:cs="Arial"/>
        </w:rPr>
        <w:t>counters</w:t>
      </w:r>
      <w:proofErr w:type="gramEnd"/>
      <w:r w:rsidRPr="00F61B46">
        <w:rPr>
          <w:rFonts w:ascii="Arial" w:hAnsi="Arial" w:cs="Arial"/>
        </w:rPr>
        <w:t xml:space="preserve"> and partitions not over 5 feet 9 inches (1753 mm) in height.</w:t>
      </w:r>
    </w:p>
    <w:p w14:paraId="732C1AB7" w14:textId="0C7F9570" w:rsidR="00555239" w:rsidRDefault="00555239" w:rsidP="00555239">
      <w:pPr>
        <w:spacing w:after="0" w:line="240" w:lineRule="auto"/>
        <w:rPr>
          <w:b/>
          <w:bCs/>
          <w:color w:val="9E0000"/>
        </w:rPr>
      </w:pPr>
    </w:p>
    <w:p w14:paraId="1594B19F" w14:textId="77777777" w:rsidR="009E50B0" w:rsidRDefault="009E50B0" w:rsidP="00555239">
      <w:pPr>
        <w:spacing w:after="0" w:line="240" w:lineRule="auto"/>
        <w:rPr>
          <w:b/>
          <w:bCs/>
          <w:color w:val="9E0000"/>
        </w:rPr>
      </w:pPr>
    </w:p>
    <w:p w14:paraId="77FADBBB" w14:textId="3FED4512" w:rsidR="009E74EB" w:rsidRPr="005015B1" w:rsidRDefault="009E50B0" w:rsidP="00555239">
      <w:pPr>
        <w:spacing w:after="0" w:line="240" w:lineRule="auto"/>
        <w:rPr>
          <w:rFonts w:ascii="Arial" w:hAnsi="Arial" w:cs="Arial"/>
        </w:rPr>
      </w:pPr>
      <w:r>
        <w:rPr>
          <w:rFonts w:ascii="Arial" w:hAnsi="Arial" w:cs="Arial"/>
          <w:b/>
          <w:bCs/>
          <w:color w:val="9E0000"/>
        </w:rPr>
        <w:t>*</w:t>
      </w:r>
      <w:r w:rsidR="00555239" w:rsidRPr="005015B1">
        <w:rPr>
          <w:rFonts w:ascii="Arial" w:hAnsi="Arial" w:cs="Arial"/>
          <w:b/>
          <w:bCs/>
          <w:color w:val="9E0000"/>
        </w:rPr>
        <w:t>Permits required and regulated under Bastrop Code of Ordinances and/or Bastrop Building Block (B3) code</w:t>
      </w:r>
    </w:p>
    <w:sectPr w:rsidR="009E74EB" w:rsidRPr="005015B1" w:rsidSect="00F95A0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7D52" w14:textId="77777777" w:rsidR="009E50B0" w:rsidRDefault="009E50B0" w:rsidP="009E50B0">
      <w:pPr>
        <w:spacing w:after="0" w:line="240" w:lineRule="auto"/>
      </w:pPr>
      <w:r>
        <w:separator/>
      </w:r>
    </w:p>
  </w:endnote>
  <w:endnote w:type="continuationSeparator" w:id="0">
    <w:p w14:paraId="1E0C64D0" w14:textId="77777777" w:rsidR="009E50B0" w:rsidRDefault="009E50B0" w:rsidP="009E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zHandicraft BT">
    <w:panose1 w:val="03080702020302020206"/>
    <w:charset w:val="00"/>
    <w:family w:val="script"/>
    <w:pitch w:val="variable"/>
    <w:sig w:usb0="00000087" w:usb1="00000000" w:usb2="00000000" w:usb3="00000000" w:csb0="0000001B" w:csb1="00000000"/>
  </w:font>
  <w:font w:name="Brandon Grotesque Bold">
    <w:panose1 w:val="020B08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D0FA" w14:textId="77777777" w:rsidR="009E50B0" w:rsidRDefault="009E50B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62B26AB" w14:textId="77777777" w:rsidR="009E50B0" w:rsidRDefault="009E5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E4E2" w14:textId="77777777" w:rsidR="009E50B0" w:rsidRDefault="009E50B0" w:rsidP="009E50B0">
      <w:pPr>
        <w:spacing w:after="0" w:line="240" w:lineRule="auto"/>
      </w:pPr>
      <w:r>
        <w:separator/>
      </w:r>
    </w:p>
  </w:footnote>
  <w:footnote w:type="continuationSeparator" w:id="0">
    <w:p w14:paraId="60F804E9" w14:textId="77777777" w:rsidR="009E50B0" w:rsidRDefault="009E50B0" w:rsidP="009E5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6B"/>
    <w:multiLevelType w:val="hybridMultilevel"/>
    <w:tmpl w:val="662C306C"/>
    <w:lvl w:ilvl="0" w:tplc="1332A856">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DBD388B"/>
    <w:multiLevelType w:val="hybridMultilevel"/>
    <w:tmpl w:val="D486A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39"/>
    <w:rsid w:val="005015B1"/>
    <w:rsid w:val="00555239"/>
    <w:rsid w:val="00582E6F"/>
    <w:rsid w:val="009E50B0"/>
    <w:rsid w:val="009E74EB"/>
    <w:rsid w:val="00DC6201"/>
    <w:rsid w:val="00F61B46"/>
    <w:rsid w:val="00F9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0D1E"/>
  <w15:chartTrackingRefBased/>
  <w15:docId w15:val="{CC60373A-B7E9-41D6-AD02-768D9061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0B0"/>
  </w:style>
  <w:style w:type="paragraph" w:styleId="Footer">
    <w:name w:val="footer"/>
    <w:basedOn w:val="Normal"/>
    <w:link w:val="FooterChar"/>
    <w:uiPriority w:val="99"/>
    <w:unhideWhenUsed/>
    <w:rsid w:val="009E5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0B0"/>
  </w:style>
  <w:style w:type="paragraph" w:styleId="ListParagraph">
    <w:name w:val="List Paragraph"/>
    <w:basedOn w:val="Normal"/>
    <w:uiPriority w:val="34"/>
    <w:qFormat/>
    <w:rsid w:val="00F61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Ellis</dc:creator>
  <cp:keywords/>
  <dc:description/>
  <cp:lastModifiedBy>Jimmie Campbell</cp:lastModifiedBy>
  <cp:revision>6</cp:revision>
  <dcterms:created xsi:type="dcterms:W3CDTF">2021-08-11T05:25:00Z</dcterms:created>
  <dcterms:modified xsi:type="dcterms:W3CDTF">2022-03-30T16:33:00Z</dcterms:modified>
</cp:coreProperties>
</file>